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package/2006/relationships/metadata/thumbnail" Target="docProps/thumbnail.jpeg"/></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jc w:val="center"/>
        <w:rPr>
          <w:rFonts w:hint="eastAsia"/>
          <w:b/>
          <w:bCs/>
          <w:sz w:val="32"/>
          <w:szCs w:val="32"/>
          <w:u w:val="single"/>
        </w:rPr>
      </w:pPr>
      <w:r>
        <w:rPr>
          <w:b/>
          <w:bCs/>
          <w:sz w:val="32"/>
          <w:szCs w:val="32"/>
          <w:u w:val="single"/>
        </w:rPr>
        <w:t>Bleeding Should Not Break Dreams.</w:t>
      </w:r>
    </w:p>
    <w:p>
      <w:pPr>
        <w:rPr>
          <w:rFonts w:hint="eastAsia"/>
        </w:rPr>
      </w:pPr>
    </w:p>
    <w:p>
      <w:pPr>
        <w:rPr>
          <w:rFonts w:hint="eastAsia"/>
        </w:rPr>
      </w:pPr>
    </w:p>
    <w:p>
      <w:pPr>
        <w:rPr>
          <w:rFonts w:ascii="HonorDigits_Serif" w:eastAsia="HonorDigits_Serif" w:hAnsi="HonorDigits_Serif" w:hint="eastAsia"/>
          <w:sz w:val="24"/>
          <w:szCs w:val="24"/>
        </w:rPr>
      </w:pPr>
      <w:r>
        <w:rPr>
          <w:rFonts w:ascii="HonorDigits_Serif" w:eastAsia="HonorDigits_Serif" w:hAnsi="HonorDigits_Serif" w:hint="eastAsia"/>
          <w:sz w:val="24"/>
          <w:szCs w:val="24"/>
        </w:rPr>
        <w:t>In a world where a girl’s future can be derailed by something as natural as her own biology, innovation becomes more than science—it becomes a form of justice. Menstruation is a silent crisis for millions of girls around the world who miss school, suffer infections, or shrink into shame simply because they lack access to safe sanitary products. In South Africa and many other developing countries, the high cost and limited availability of menstrual hygiene products force girls to use unsafe alternatives such as newspapers, rags, or even socks. This leads not just to infections and discomfort but to an erosion of confidence and opportunity. According to UNICEF, one in ten African schoolgirls misses classes or drops out of school entirely due to menstruation. This essay introduces a self-sanitizing reusable sanitary pad—a realistic, low-cost solution that directly tackles this issue. I will explain how it works, what materials it uses, and how it can be manufactured using locally available resources. Designed for communities with limited water, electricity, and sanitation infrastructure—such as rural villages, refugee camps, and informal settlements—this invention shows how science and empathy, when woven together, can restore dignity and unlock dreams for girls left behind.</w:t>
      </w:r>
    </w:p>
    <w:p>
      <w:pPr>
        <w:rPr>
          <w:rFonts w:ascii="HonorDigits_Serif" w:eastAsia="HonorDigits_Serif" w:hAnsi="HonorDigits_Serif" w:hint="eastAsia"/>
          <w:sz w:val="24"/>
          <w:szCs w:val="24"/>
        </w:rPr>
      </w:pPr>
    </w:p>
    <w:p>
      <w:pPr>
        <w:rPr>
          <w:rFonts w:ascii="HonorDigits_Serif" w:eastAsia="HonorDigits_Serif" w:hAnsi="HonorDigits_Serif" w:hint="eastAsia"/>
          <w:sz w:val="24"/>
          <w:szCs w:val="24"/>
        </w:rPr>
      </w:pPr>
      <w:r>
        <w:rPr>
          <w:rFonts w:ascii="HonorDigits_Serif" w:eastAsia="HonorDigits_Serif" w:hAnsi="HonorDigits_Serif" w:hint="eastAsia"/>
          <w:sz w:val="24"/>
          <w:szCs w:val="24"/>
        </w:rPr>
        <w:t>The self-sanitizing reusable sanitary pad is designed to be safe, affordable, and easy to clean—even without access to running water or soap. Its structure consists of four carefully chosen layers, each playing a vital role. The top layer, which comes into contact with the skin, is made from organic cotton or hemp fabric. Both are breathable, soft, and naturally antibacterial. Hemp, in particular, absorbs moisture while resisting bacteria, making it ideal for sensitive skin and hot climates. Beneath this is the absorbent core, which incorporates charcoal-infused cotton or zinc oxide-treated fibers. Charcoal neutralizes odors and kills bacteria naturally, while zinc oxide—commonly used in baby powders and sunscreens—adds extra germ-killing power. This ensures that the pad remains hygienic, comfortable, and odor-free even in the absence of frequent washing.</w:t>
      </w:r>
    </w:p>
    <w:p>
      <w:pPr>
        <w:rPr>
          <w:rFonts w:ascii="HonorDigits_Serif" w:eastAsia="HonorDigits_Serif" w:hAnsi="HonorDigits_Serif" w:hint="eastAsia"/>
          <w:sz w:val="24"/>
          <w:szCs w:val="24"/>
        </w:rPr>
      </w:pPr>
    </w:p>
    <w:p>
      <w:pPr>
        <w:rPr>
          <w:rFonts w:ascii="HonorDigits_Serif" w:eastAsia="HonorDigits_Serif" w:hAnsi="HonorDigits_Serif" w:hint="eastAsia"/>
          <w:sz w:val="24"/>
          <w:szCs w:val="24"/>
        </w:rPr>
      </w:pPr>
      <w:r>
        <w:rPr>
          <w:rFonts w:ascii="HonorDigits_Serif" w:eastAsia="HonorDigits_Serif" w:hAnsi="HonorDigits_Serif" w:hint="eastAsia"/>
          <w:sz w:val="24"/>
          <w:szCs w:val="24"/>
        </w:rPr>
        <w:t>What sets this pad apart is its built-in sanitizing feature. A black-colored fabric layer, positioned below the absorbent core, is used to absorb sunlight and increase heat retention. When placed in direct sun, this layer reaches temperatures high enough to kill bacteria effectively. This is paired with an optional herbal spray made from neem oil, lemon juice, or tea tree oil—all known for their antimicrobial properties. After rinsing or wiping, the user sprays the pad and leaves it in the sun for 2 to 4 hours to sanitize it thoroughly. Finally, the bottom layer is crafted from either PUL (Polyurethane Laminate)—a waterproof, breathable fabric—or waxed cotton, which is biodegradable and eco-friendly. While PUL lasts longer, waxed cotton is better suited to zero-waste communities that prioritize environmental sustainability. This entire structure allows the pad to be used, cleaned, dried, and reused safely, even without soap or clean water. The user simply wipes or rinses the pad, sprays it, and lays it out in the sun—eliminating the need for boiling or harsh chemicals.</w:t>
      </w:r>
    </w:p>
    <w:p>
      <w:pPr>
        <w:rPr>
          <w:rFonts w:ascii="HonorDigits_Serif" w:eastAsia="HonorDigits_Serif" w:hAnsi="HonorDigits_Serif" w:hint="eastAsia"/>
          <w:sz w:val="24"/>
          <w:szCs w:val="24"/>
        </w:rPr>
      </w:pPr>
    </w:p>
    <w:p>
      <w:pPr>
        <w:rPr>
          <w:rFonts w:ascii="HonorDigits_Serif" w:eastAsia="HonorDigits_Serif" w:hAnsi="HonorDigits_Serif" w:hint="eastAsia"/>
          <w:sz w:val="24"/>
          <w:szCs w:val="24"/>
        </w:rPr>
      </w:pPr>
      <w:r>
        <w:rPr>
          <w:rFonts w:ascii="HonorDigits_Serif" w:eastAsia="HonorDigits_Serif" w:hAnsi="HonorDigits_Serif" w:hint="eastAsia"/>
          <w:sz w:val="24"/>
          <w:szCs w:val="24"/>
        </w:rPr>
        <w:t>Manufacturing these pads can be done using sewing machines or by hand, with patterns that are freely available. Community workshops can train local women to produce them, creating jobs while reducing pad insecurity. The materials cost far less than commercial products, and a single pad can last up to two years, making it cheaper in the long term than disposable alternatives. Production involves cutting fabric into shaped layers, sewing them together with a waterproof base, and treating the absorbent core with charcoal powder or zinc oxide—both of which are inexpensive and safe. The accompanying herbal sprays can be made using boiled neem leaves or diluted tea tree oil, bottled for easy use. This simple yet scientific process ensures that production can be localized and sustainable, empowering communities to manage their own menstrual health solutions.</w:t>
      </w:r>
    </w:p>
    <w:p>
      <w:pPr>
        <w:rPr>
          <w:rFonts w:ascii="HonorDigits_Serif" w:eastAsia="HonorDigits_Serif" w:hAnsi="HonorDigits_Serif" w:hint="eastAsia"/>
          <w:sz w:val="24"/>
          <w:szCs w:val="24"/>
        </w:rPr>
      </w:pPr>
    </w:p>
    <w:p>
      <w:pPr>
        <w:rPr>
          <w:rFonts w:ascii="HonorDigits_Serif" w:eastAsia="HonorDigits_Serif" w:hAnsi="HonorDigits_Serif" w:hint="eastAsia"/>
          <w:sz w:val="24"/>
          <w:szCs w:val="24"/>
        </w:rPr>
      </w:pPr>
      <w:r>
        <w:rPr>
          <w:rFonts w:ascii="HonorDigits_Serif" w:eastAsia="HonorDigits_Serif" w:hAnsi="HonorDigits_Serif" w:hint="eastAsia"/>
          <w:sz w:val="24"/>
          <w:szCs w:val="24"/>
        </w:rPr>
        <w:t>This invention is more than just fabric and fibers stitched together; it is a bridge between a girl and her future. With every pad that prevents infection, with every school day that isn’t missed, with every moment of dignity restored, we inch closer to a world where no girl has to choose between her health and her education. By blending science with compassion, the self-sanitizing reusable sanitary pad is not merely a product—it is a quiet revolution stitched into cloth. Every girl deserves not just to survive her period, but to rise through it. And with this invention, she can.</w:t>
      </w:r>
    </w:p>
    <w:p>
      <w:pPr>
        <w:ind w:left="5880"/>
        <w:rPr>
          <w:rFonts w:ascii="HonorDigits_Serif" w:eastAsia="HonorDigits_Serif" w:hAnsi="HonorDigits_Serif" w:hint="eastAsia"/>
          <w:sz w:val="24"/>
          <w:szCs w:val="24"/>
        </w:rPr>
      </w:pPr>
      <w:r>
        <w:rPr>
          <w:rFonts w:ascii="HonorDigits_Serif" w:eastAsia="HonorDigits_Serif" w:hAnsi="HonorDigits_Serif" w:hint="eastAsia"/>
          <w:sz w:val="24"/>
          <w:szCs w:val="24"/>
        </w:rPr>
        <w:t xml:space="preserve">By Bokamoso Motsiri </w:t>
      </w:r>
    </w:p>
    <w:p>
      <w:pPr>
        <w:jc w:val="left"/>
        <w:rPr>
          <w:rFonts w:ascii="HonorDigits_Serif" w:eastAsia="HonorDigits_Serif" w:hAnsi="HonorDigits_Serif"/>
          <w:sz w:val="24"/>
          <w:szCs w:val="24"/>
        </w:rPr>
      </w:pPr>
      <w:r>
        <w:rPr>
          <w:rFonts w:ascii="HonorDigits_Serif" w:eastAsia="HonorDigits_Serif" w:hAnsi="HonorDigits_Serif" w:hint="eastAsia"/>
          <w:sz w:val="24"/>
          <w:szCs w:val="24"/>
        </w:rPr>
        <w:t xml:space="preserve">Word Count:672 Words </w:t>
      </w:r>
    </w:p>
    <w:p>
      <w:pPr>
        <w:jc w:val="left"/>
        <w:rPr>
          <w:rFonts w:ascii="HonorDigits_Serif" w:eastAsia="HonorDigits_Serif" w:hAnsi="HonorDigits_Serif"/>
          <w:sz w:val="24"/>
          <w:szCs w:val="24"/>
        </w:rPr>
      </w:pPr>
    </w:p>
    <w:p>
      <w:pPr>
        <w:jc w:val="left"/>
        <w:rPr>
          <w:rFonts w:ascii="HonorDigits_Serif" w:eastAsia="HonorDigits_Serif" w:hAnsi="HonorDigits_Serif"/>
          <w:b/>
          <w:bCs/>
          <w:sz w:val="24"/>
          <w:szCs w:val="24"/>
          <w:u w:val="single"/>
        </w:rPr>
      </w:pPr>
      <w:r>
        <w:rPr>
          <w:rFonts w:ascii="HonorDigits_Serif" w:eastAsia="HonorDigits_Serif" w:hAnsi="HonorDigits_Serif"/>
          <w:b/>
          <w:bCs/>
          <w:sz w:val="24"/>
          <w:szCs w:val="24"/>
          <w:u w:val="single"/>
        </w:rPr>
        <w:t>Bibliography:</w:t>
      </w:r>
    </w:p>
    <w:p>
      <w:pPr>
        <w:jc w:val="left"/>
        <w:rPr>
          <w:rFonts w:ascii="HonorDigits_Serif" w:eastAsia="HonorDigits_Serif" w:hAnsi="HonorDigits_Serif"/>
          <w:b/>
          <w:bCs/>
          <w:sz w:val="24"/>
          <w:szCs w:val="24"/>
          <w:u w:val="single"/>
        </w:rPr>
      </w:pPr>
      <w:bookmarkStart w:id="0" w:name="_GoBack"/>
      <w:bookmarkEnd w:id="0"/>
    </w:p>
    <w:p>
      <w:pPr>
        <w:jc w:val="left"/>
        <w:rPr>
          <w:rFonts w:ascii="HonorDigits_Serif" w:eastAsia="HonorDigits_Serif" w:hAnsi="HonorDigits_Serif" w:hint="eastAsia"/>
          <w:sz w:val="24"/>
          <w:szCs w:val="24"/>
        </w:rPr>
      </w:pPr>
      <w:r>
        <w:rPr>
          <w:rFonts w:ascii="HonorDigits_Serif" w:eastAsia="HonorDigits_Serif" w:hAnsi="HonorDigits_Serif" w:hint="eastAsia"/>
          <w:sz w:val="24"/>
          <w:szCs w:val="24"/>
        </w:rPr>
        <w:t>UNICEF. "Guidance on Menstrual Health and Hygiene", United Nations Children’s Fund. https://www.unicef.org/reports/guidance-menstrual-health-and-hygiene / last accessed 28th April 2025</w:t>
      </w:r>
    </w:p>
    <w:p>
      <w:pPr>
        <w:jc w:val="left"/>
        <w:rPr>
          <w:rFonts w:ascii="HonorDigits_Serif" w:eastAsia="HonorDigits_Serif" w:hAnsi="HonorDigits_Serif" w:hint="eastAsia"/>
          <w:sz w:val="24"/>
          <w:szCs w:val="24"/>
        </w:rPr>
      </w:pPr>
    </w:p>
    <w:p>
      <w:pPr>
        <w:jc w:val="left"/>
        <w:rPr>
          <w:rFonts w:ascii="HonorDigits_Serif" w:eastAsia="HonorDigits_Serif" w:hAnsi="HonorDigits_Serif" w:hint="eastAsia"/>
          <w:sz w:val="24"/>
          <w:szCs w:val="24"/>
        </w:rPr>
      </w:pPr>
      <w:r>
        <w:rPr>
          <w:rFonts w:ascii="HonorDigits_Serif" w:eastAsia="HonorDigits_Serif" w:hAnsi="HonorDigits_Serif" w:hint="eastAsia"/>
          <w:sz w:val="24"/>
          <w:szCs w:val="24"/>
        </w:rPr>
        <w:t>World Health Organization. "Water, sanitation, hygiene, and health: A primer for health professionals", WHO. https://www.who.int/publications/i/item/9789241516235 / last accessed 28th April 2025</w:t>
      </w:r>
    </w:p>
    <w:p>
      <w:pPr>
        <w:jc w:val="left"/>
        <w:rPr>
          <w:rFonts w:ascii="HonorDigits_Serif" w:eastAsia="HonorDigits_Serif" w:hAnsi="HonorDigits_Serif" w:hint="eastAsia"/>
          <w:sz w:val="24"/>
          <w:szCs w:val="24"/>
        </w:rPr>
      </w:pPr>
    </w:p>
    <w:p>
      <w:pPr>
        <w:jc w:val="left"/>
        <w:rPr>
          <w:rFonts w:ascii="HonorDigits_Serif" w:eastAsia="HonorDigits_Serif" w:hAnsi="HonorDigits_Serif" w:hint="eastAsia"/>
          <w:sz w:val="24"/>
          <w:szCs w:val="24"/>
        </w:rPr>
      </w:pPr>
      <w:r>
        <w:rPr>
          <w:rFonts w:ascii="HonorDigits_Serif" w:eastAsia="HonorDigits_Serif" w:hAnsi="HonorDigits_Serif" w:hint="eastAsia"/>
          <w:sz w:val="24"/>
          <w:szCs w:val="24"/>
        </w:rPr>
        <w:t>Kumar, A. and Sharma, A. "Neem (Azadirachta indica): Prehistory to contemporary medicinal uses to humankind", Asian Pacific Journal of Tropical Biomedicine. https://doi.org/10.4103/2221-1691.254569 / last accessed 28th April 2025</w:t>
      </w:r>
    </w:p>
    <w:p>
      <w:pPr>
        <w:jc w:val="left"/>
        <w:rPr>
          <w:rFonts w:ascii="HonorDigits_Serif" w:eastAsia="HonorDigits_Serif" w:hAnsi="HonorDigits_Serif" w:hint="eastAsia"/>
          <w:sz w:val="24"/>
          <w:szCs w:val="24"/>
        </w:rPr>
      </w:pPr>
    </w:p>
    <w:p>
      <w:pPr>
        <w:jc w:val="left"/>
        <w:rPr>
          <w:rFonts w:ascii="HonorDigits_Serif" w:eastAsia="HonorDigits_Serif" w:hAnsi="HonorDigits_Serif" w:hint="eastAsia"/>
          <w:sz w:val="24"/>
          <w:szCs w:val="24"/>
        </w:rPr>
      </w:pPr>
      <w:r>
        <w:rPr>
          <w:rFonts w:ascii="HonorDigits_Serif" w:eastAsia="HonorDigits_Serif" w:hAnsi="HonorDigits_Serif" w:hint="eastAsia"/>
          <w:sz w:val="24"/>
          <w:szCs w:val="24"/>
        </w:rPr>
        <w:t>Ali, M., Khan, T. and Fatima, M. "Antimicrobial activity of tea tree oil and its components", Journal of Essential Oil Research. https://doi.org/10.1080/10412905.2020.1756193 / last accessed 28th April 2025</w:t>
      </w:r>
    </w:p>
    <w:p>
      <w:pPr>
        <w:jc w:val="left"/>
        <w:rPr>
          <w:rFonts w:ascii="HonorDigits_Serif" w:eastAsia="HonorDigits_Serif" w:hAnsi="HonorDigits_Serif" w:hint="eastAsia"/>
          <w:sz w:val="24"/>
          <w:szCs w:val="24"/>
        </w:rPr>
      </w:pPr>
    </w:p>
    <w:p>
      <w:pPr>
        <w:jc w:val="left"/>
        <w:rPr>
          <w:rFonts w:ascii="HonorDigits_Serif" w:eastAsia="HonorDigits_Serif" w:hAnsi="HonorDigits_Serif" w:hint="eastAsia"/>
          <w:sz w:val="24"/>
          <w:szCs w:val="24"/>
        </w:rPr>
      </w:pPr>
      <w:r>
        <w:rPr>
          <w:rFonts w:ascii="HonorDigits_Serif" w:eastAsia="HonorDigits_Serif" w:hAnsi="HonorDigits_Serif" w:hint="eastAsia"/>
          <w:sz w:val="24"/>
          <w:szCs w:val="24"/>
        </w:rPr>
        <w:t>Raliya, R., Tarafdar, J.C. and Biswas, P. "Titanium dioxide nanoparticle-mediated photochemical degradation of bacteria: A review", Environmental Science: Nano. https://doi.org/10.1039/C6EN00052D / last accessed 28th April 2025</w:t>
      </w:r>
    </w:p>
    <w:p>
      <w:pPr>
        <w:jc w:val="left"/>
        <w:rPr>
          <w:rFonts w:ascii="HonorDigits_Serif" w:eastAsia="HonorDigits_Serif" w:hAnsi="HonorDigits_Serif" w:hint="eastAsia"/>
          <w:sz w:val="24"/>
          <w:szCs w:val="24"/>
        </w:rPr>
      </w:pPr>
    </w:p>
    <w:p>
      <w:pPr>
        <w:jc w:val="left"/>
        <w:rPr>
          <w:rFonts w:ascii="HonorDigits_Serif" w:eastAsia="HonorDigits_Serif" w:hAnsi="HonorDigits_Serif" w:hint="eastAsia"/>
          <w:sz w:val="24"/>
          <w:szCs w:val="24"/>
        </w:rPr>
      </w:pPr>
      <w:r>
        <w:rPr>
          <w:rFonts w:ascii="HonorDigits_Serif" w:eastAsia="HonorDigits_Serif" w:hAnsi="HonorDigits_Serif" w:hint="eastAsia"/>
          <w:sz w:val="24"/>
          <w:szCs w:val="24"/>
        </w:rPr>
        <w:t>Sharma, V. and Kumar, P. "Antibacterial properties of bamboo charcoal and its potential applications", Materials Today: Proceedings. https://doi.org/10.1016/j.matpr.2017.11.381 / last accessed 28th April 2025</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HonorDigits_Serif">
    <w:panose1 w:val="00000000000000000000"/>
    <w:charset w:val="00"/>
    <w:family w:val="auto"/>
    <w:pitch w:val="variable"/>
    <w:sig w:usb0="00000000" w:usb1="00000000" w:usb2="00000000" w:usb3="00000000" w:csb0="0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Roboto">
    <w:panose1 w:val="02000000000000000000"/>
    <w:charset w:val="00"/>
    <w:family w:val="auto"/>
    <w:pitch w:val="variable"/>
    <w:sig w:usb0="E0000AFF" w:usb1="5000217F" w:usb2="00000021" w:usb3="00000000" w:csb0="2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7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keepLines w:val="0"/>
      <w:pageBreakBefore w:val="0"/>
      <w:widowControl w:val="0"/>
      <w:suppressLineNumbers w:val="0"/>
      <w:suppressAutoHyphens w:val="0"/>
      <w:jc w:val="both"/>
    </w:pPr>
    <w:rPr>
      <w:rFonts w:ascii="Roboto" w:eastAsia="Roboto" w:cs="Arial" w:hAnsi="Roboto"/>
      <w:kern w:val="2"/>
      <w:sz w:val="21"/>
      <w:szCs w:val="22"/>
      <w:lang w:val="en-US" w:eastAsia="zh-CN" w:bidi="ar-SA"/>
    </w:rPr>
  </w:style>
  <w:style w:type="paragraph" w:styleId="1">
    <w:name w:val="heading 1"/>
    <w:basedOn w:val="0"/>
    <w:next w:val="0"/>
    <w:pPr>
      <w:keepNext/>
      <w:keepLines/>
      <w:pageBreakBefore w:val="0"/>
      <w:widowControl w:val="0"/>
      <w:suppressLineNumbers w:val="0"/>
      <w:suppressAutoHyphens w:val="0"/>
      <w:spacing w:before="340" w:after="330" w:line="578" w:lineRule="auto"/>
      <w:outlineLvl w:val="0"/>
    </w:pPr>
    <w:rPr>
      <w:b/>
      <w:bCs/>
      <w:kern w:val="44"/>
      <w:sz w:val="44"/>
      <w:szCs w:val="44"/>
    </w:rPr>
  </w:style>
  <w:style w:type="paragraph" w:styleId="2">
    <w:name w:val="heading 2"/>
    <w:basedOn w:val="0"/>
    <w:next w:val="0"/>
    <w:pPr>
      <w:keepNext/>
      <w:keepLines/>
      <w:pageBreakBefore w:val="0"/>
      <w:widowControl w:val="0"/>
      <w:suppressLineNumbers w:val="0"/>
      <w:suppressAutoHyphens w:val="0"/>
      <w:spacing w:before="260" w:after="260" w:line="415" w:lineRule="auto"/>
      <w:outlineLvl w:val="1"/>
    </w:pPr>
    <w:rPr>
      <w:b/>
      <w:bCs/>
      <w:sz w:val="32"/>
      <w:szCs w:val="32"/>
    </w:rPr>
  </w:style>
  <w:style w:type="paragraph" w:styleId="3">
    <w:name w:val="heading 3"/>
    <w:basedOn w:val="0"/>
    <w:next w:val="0"/>
    <w:pPr>
      <w:keepNext/>
      <w:keepLines/>
      <w:pageBreakBefore w:val="0"/>
      <w:widowControl w:val="0"/>
      <w:suppressLineNumbers w:val="0"/>
      <w:suppressAutoHyphens w:val="0"/>
      <w:spacing w:before="260" w:after="260" w:line="415" w:lineRule="auto"/>
      <w:outlineLvl w:val="2"/>
    </w:pPr>
    <w:rPr>
      <w:b/>
      <w:bCs/>
      <w:sz w:val="32"/>
      <w:szCs w:val="32"/>
    </w:rPr>
  </w:style>
  <w:style w:type="character" w:default="1" w:styleId="10">
    <w:name w:val="Default Paragraph Font"/>
  </w:style>
  <w:style w:type="paragraph" w:customStyle="1" w:styleId="15">
    <w:name w:val="ii"/>
    <w:basedOn w:val="0"/>
    <w:next w:val="0"/>
  </w:style>
  <w:style w:type="paragraph" w:customStyle="1" w:styleId="16">
    <w:name w:val="i"/>
    <w:basedOn w:val="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3</TotalTime>
  <Application>Honor_Office</Application>
  <Pages>3</Pages>
  <Words>905</Words>
  <Characters>5155</Characters>
  <Lines>104</Lines>
  <Paragraphs>15</Paragraphs>
  <CharactersWithSpaces>6028</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HONOR X7b</cp:lastModifiedBy>
  <cp:revision>0</cp:revision>
  <dcterms:modified xsi:type="dcterms:W3CDTF">2025-05-05T10:27:50Z</dcterms:modified>
</cp:coreProperties>
</file>